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R 2021 102 vom 23. November 2022</w:t>
      </w:r>
    </w:p>
    <w:p>
      <w:r>
        <w:t>GR Gerichte, 2022-11-23, DE</w:t>
      </w:r>
    </w:p>
    <w:p>
      <w:r>
        <w:rPr>
          <w:b/>
        </w:rPr>
        <w:t xml:space="preserve">Quelle: </w:t>
      </w:r>
      <w:r>
        <w:t>https://mcp.opencaselaw.ch/entscheid/gr_gerichte_R 2021 102</w:t>
      </w:r>
    </w:p>
    <w:p>
      <w:r>
        <w:t>FR: GR_GERICHTE R 2021 102 du 23 novembre 2022</w:t>
      </w:r>
    </w:p>
    <w:p>
      <w:r>
        <w:t>IT: GR_GERICHTE R 2021 102 del 23 novembre 2022</w:t>
      </w:r>
    </w:p>
    <w:p>
      <w:pPr>
        <w:pStyle w:val="Heading2"/>
      </w:pPr>
      <w:r>
        <w:t>Regeste</w:t>
      </w:r>
    </w:p>
    <w:p>
      <w:r>
        <w:t>Bereinigung der beschränkten dinglichen Rechte (Zuweisung Klägerrolle) | Landwirtschaft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 ist Eigentümer der beiden im Landwirtschaftsgebiet gelegenen Parzellen C._____ und D._____ in der Gemeinde E._____, wobei auf Pa- rzelle D._____ ein Stall steht. Beide Parzellen sind von Osten her über einen landwirtschaftlichen Weg erschlossen, der beim Stall im Westen en- det. Weiter westlich davon befindet sich die Parzelle F._____ von B._____, die direkt an die gemeindeeigene Wegparzelle G._____ an- stösst, die ihrerseits von Süden durchgehend nach Norden im östlichen Grenzbereich der Parzelle F._____ verläuft. Eine offizielle Verbindung zwi- schen dem Stall auf Parzelle D._____ und der kommunalen Wegparzelle G._____ besteht nicht. Im Rahmen der Einführung des eidgenössischen Grundbuchs kam es zu einer Streitigkeit zwischen den zwei genannten Grundeigentümern bezüglich eines landwirtschaftlichen Fahrwegrechts zulasten der Parzelle C._____ und zugunsten der Parzelle F._____, wobei unklar geblieben ist, wem im konkreten Fall die Klägerrolle zukommen sollte.</w:t>
      </w:r>
    </w:p>
    <w:p>
      <w:r>
        <w:rPr>
          <w:b/>
        </w:rPr>
        <w:t>E. 2</w:t>
      </w:r>
    </w:p>
    <w:p>
      <w:r>
        <w:t>Nach dem Scheitern aussergerichtlicher Einigungsverhandlungen gestützt auf das kantonale Einführungsgesetz zum Schweizerischen Zivilgesetz- buch (EGzZGB; BR 210.100) und der Verordnung über das Grundbuch im Kanton Graubünden (KGBV; BR 217.100) erkannte das streitberufene De- partement für Volkswirtschaft und Soziales (DVS) Graubünden mit Verfü- gung GIHA 6/21 vom 29. September 2021 – im Besonderen gestützt auf Art. 17 Abs. 1 bis 5 KGBV i.V.m. Art. 147b Abs. 4 EGzZGB – was folgt: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